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B35" w:rsidRDefault="00C56B35" w:rsidP="00A13E9C">
      <w:pPr>
        <w:jc w:val="center"/>
        <w:rPr>
          <w:sz w:val="28"/>
          <w:szCs w:val="28"/>
          <w:u w:val="single"/>
        </w:rPr>
      </w:pPr>
    </w:p>
    <w:p w:rsidR="006E6F56" w:rsidRPr="00A13E9C" w:rsidRDefault="006E6F56" w:rsidP="00A13E9C">
      <w:pPr>
        <w:jc w:val="center"/>
        <w:rPr>
          <w:sz w:val="28"/>
          <w:szCs w:val="28"/>
          <w:u w:val="single"/>
        </w:rPr>
      </w:pPr>
      <w:r w:rsidRPr="00A13E9C">
        <w:rPr>
          <w:sz w:val="28"/>
          <w:szCs w:val="28"/>
          <w:u w:val="single"/>
        </w:rPr>
        <w:t>PROPOSTA DI PROGETTO SOVRADISTRETTUALE</w:t>
      </w:r>
    </w:p>
    <w:p w:rsidR="006E6F56" w:rsidRPr="00A13E9C" w:rsidRDefault="006E6F56" w:rsidP="00441E9B">
      <w:pPr>
        <w:jc w:val="center"/>
        <w:rPr>
          <w:b/>
          <w:sz w:val="36"/>
          <w:szCs w:val="36"/>
          <w:u w:val="single"/>
        </w:rPr>
      </w:pPr>
      <w:r w:rsidRPr="00A13E9C">
        <w:rPr>
          <w:b/>
          <w:sz w:val="36"/>
          <w:szCs w:val="36"/>
          <w:u w:val="single"/>
        </w:rPr>
        <w:t>GOVANI CAREGIVER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7365"/>
      </w:tblGrid>
      <w:tr w:rsidR="006E6F56" w:rsidTr="00D0299E">
        <w:tc>
          <w:tcPr>
            <w:tcW w:w="2263" w:type="dxa"/>
          </w:tcPr>
          <w:p w:rsidR="006E6F56" w:rsidRPr="00D0299E" w:rsidRDefault="006E6F56" w:rsidP="00BB70AA">
            <w:pPr>
              <w:rPr>
                <w:b/>
                <w:sz w:val="28"/>
                <w:szCs w:val="28"/>
              </w:rPr>
            </w:pPr>
            <w:r w:rsidRPr="00D0299E">
              <w:rPr>
                <w:b/>
                <w:sz w:val="28"/>
                <w:szCs w:val="28"/>
              </w:rPr>
              <w:t>MOTIVAZIONI</w:t>
            </w:r>
          </w:p>
        </w:tc>
        <w:tc>
          <w:tcPr>
            <w:tcW w:w="7365" w:type="dxa"/>
          </w:tcPr>
          <w:p w:rsidR="006E6F56" w:rsidRDefault="006E6F56" w:rsidP="00C10467">
            <w:pPr>
              <w:spacing w:after="0"/>
              <w:jc w:val="both"/>
            </w:pPr>
            <w:r>
              <w:t>I giovani caregiver sono bambini e ragazzi di età inferiore ai 18 anni che forniscono cura, assistenza e supporto a membri della famiglia che hanno una disabilità, una patologia cronica, una malattia mentale o altre condizioni che necessitano di cura. I giovani caregiver si fanno carico di una vasta gamma di responsabilità tra cui il supporto emotivo, la cura della persona, la cura della casa e la gestione del budget familiare.</w:t>
            </w:r>
          </w:p>
          <w:p w:rsidR="006E6F56" w:rsidRDefault="006E6F56" w:rsidP="00C10467">
            <w:pPr>
              <w:spacing w:after="0"/>
              <w:jc w:val="both"/>
            </w:pPr>
            <w:r w:rsidRPr="00153300">
              <w:t xml:space="preserve">I dati più recenti </w:t>
            </w:r>
            <w:r>
              <w:t xml:space="preserve">(Istat 2015) </w:t>
            </w:r>
            <w:r w:rsidRPr="00153300">
              <w:t xml:space="preserve">stimano che siano oltre </w:t>
            </w:r>
            <w:smartTag w:uri="urn:schemas-microsoft-com:office:smarttags" w:element="metricconverter">
              <w:smartTagPr>
                <w:attr w:name="ProductID" w:val="390.000 in"/>
              </w:smartTagPr>
              <w:r w:rsidRPr="00153300">
                <w:t>390.000 in</w:t>
              </w:r>
            </w:smartTag>
            <w:r w:rsidRPr="00153300">
              <w:t xml:space="preserve"> Italia i giovani caregiver tra i 15 e i 24 anni, benché sia probabile che questi numeri siano sotto-stimati. Essere un giovane caregiver può essere motivo di gratificazione e soddisfazione, ma anche fonte di emozioni negative come stress, rabbia, tristezza, senso di colpa. Inoltre, quando gli impegni di cura sono significativi può essere difficile frequentare regolarmente e con profitto la scuola, vedere gli amici, trovare un lavoro.</w:t>
            </w:r>
          </w:p>
          <w:p w:rsidR="006E6F56" w:rsidRPr="00153300" w:rsidRDefault="006E6F56" w:rsidP="00C10467">
            <w:pPr>
              <w:spacing w:after="0"/>
              <w:jc w:val="both"/>
            </w:pPr>
            <w:r w:rsidRPr="00153300">
              <w:t xml:space="preserve">In una visione </w:t>
            </w:r>
            <w:r>
              <w:t xml:space="preserve">prospettica e longitudinale ha senso quindi provare a costruire reti di protezione attorno a questi ragazzi, per supportarli nel contemperare i compiti di cura ed il diritto alla crescita ed alla propria realizzazione. </w:t>
            </w:r>
          </w:p>
        </w:tc>
      </w:tr>
      <w:tr w:rsidR="006E6F56" w:rsidTr="00D0299E">
        <w:tc>
          <w:tcPr>
            <w:tcW w:w="2263" w:type="dxa"/>
          </w:tcPr>
          <w:p w:rsidR="006E6F56" w:rsidRPr="00D0299E" w:rsidRDefault="006E6F56" w:rsidP="00BB70AA">
            <w:pPr>
              <w:rPr>
                <w:b/>
                <w:sz w:val="28"/>
                <w:szCs w:val="28"/>
              </w:rPr>
            </w:pPr>
            <w:r w:rsidRPr="00D0299E">
              <w:rPr>
                <w:b/>
                <w:sz w:val="28"/>
                <w:szCs w:val="28"/>
              </w:rPr>
              <w:t>OBIETTIVI</w:t>
            </w:r>
          </w:p>
        </w:tc>
        <w:tc>
          <w:tcPr>
            <w:tcW w:w="7365" w:type="dxa"/>
          </w:tcPr>
          <w:p w:rsidR="006E6F56" w:rsidRDefault="006E6F56" w:rsidP="00D0299E">
            <w:pPr>
              <w:numPr>
                <w:ilvl w:val="0"/>
                <w:numId w:val="1"/>
              </w:numPr>
              <w:spacing w:after="0"/>
              <w:jc w:val="both"/>
            </w:pPr>
            <w:r>
              <w:t xml:space="preserve">Conoscere il fenomeno e fornire gli strumenti per riconoscere i giovani caregiver nei differenti contesti di vita. </w:t>
            </w:r>
          </w:p>
          <w:p w:rsidR="006E6F56" w:rsidRDefault="006E6F56" w:rsidP="00D0299E">
            <w:pPr>
              <w:numPr>
                <w:ilvl w:val="0"/>
                <w:numId w:val="1"/>
              </w:numPr>
              <w:spacing w:after="0"/>
              <w:jc w:val="both"/>
            </w:pPr>
            <w:r>
              <w:t>Costruire ecosistemi che possano rispondere in maniera dinamica e personalizzata alle necessità trasversali di questi giovani e giovanissimi dando punti di vista diversi, coinvolgendo i differenti attori in una “presa in carico comunitaria” che consideri i vari livelli di problematicità legata al carico di cura e possibili ulteriori problematiche legate alla famiglia, ed attivi le necessarie risposte personalizzate (sollievo, sostegno…).</w:t>
            </w:r>
          </w:p>
          <w:p w:rsidR="006E6F56" w:rsidRDefault="006E6F56" w:rsidP="00EE27E0">
            <w:pPr>
              <w:numPr>
                <w:ilvl w:val="0"/>
                <w:numId w:val="1"/>
              </w:numPr>
              <w:spacing w:after="0"/>
              <w:jc w:val="both"/>
            </w:pPr>
            <w:r>
              <w:t>Riconoscere le competenze acquisite attraverso i compiti di cura assunti, sia come competenze trasversali che come competenze specifiche, anche a seguito di sviluppi normativi regionali.</w:t>
            </w:r>
          </w:p>
          <w:p w:rsidR="006E6F56" w:rsidRPr="00153300" w:rsidRDefault="006E6F56" w:rsidP="00EE27E0">
            <w:pPr>
              <w:numPr>
                <w:ilvl w:val="0"/>
                <w:numId w:val="1"/>
              </w:numPr>
              <w:spacing w:after="0"/>
              <w:jc w:val="both"/>
            </w:pPr>
            <w:r>
              <w:t>Costruire spazi di riconoscimento ed espressione dei e per i ragazzi.</w:t>
            </w:r>
          </w:p>
          <w:p w:rsidR="006E6F56" w:rsidRPr="00153300" w:rsidRDefault="006E6F56" w:rsidP="00BB70AA"/>
        </w:tc>
      </w:tr>
      <w:tr w:rsidR="006E6F56" w:rsidTr="00D0299E">
        <w:tc>
          <w:tcPr>
            <w:tcW w:w="2263" w:type="dxa"/>
          </w:tcPr>
          <w:p w:rsidR="006E6F56" w:rsidRPr="00D0299E" w:rsidRDefault="006E6F56" w:rsidP="00BB70AA">
            <w:pPr>
              <w:rPr>
                <w:b/>
                <w:sz w:val="28"/>
                <w:szCs w:val="28"/>
              </w:rPr>
            </w:pPr>
            <w:r w:rsidRPr="00D0299E">
              <w:rPr>
                <w:b/>
                <w:sz w:val="28"/>
                <w:szCs w:val="28"/>
              </w:rPr>
              <w:t>ARTICOLAZIONE</w:t>
            </w:r>
          </w:p>
        </w:tc>
        <w:tc>
          <w:tcPr>
            <w:tcW w:w="7365" w:type="dxa"/>
          </w:tcPr>
          <w:p w:rsidR="006E6F56" w:rsidRPr="00A13E9C" w:rsidRDefault="006E6F56" w:rsidP="00D0299E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A13E9C">
              <w:rPr>
                <w:rFonts w:asciiTheme="minorHAnsi" w:hAnsiTheme="minorHAnsi" w:cstheme="minorHAnsi"/>
                <w:bCs/>
              </w:rPr>
              <w:t xml:space="preserve">TEMPI: ANNO 2021 </w:t>
            </w:r>
          </w:p>
          <w:p w:rsidR="006E6F56" w:rsidRPr="00A13E9C" w:rsidRDefault="006E6F56" w:rsidP="00D0299E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A13E9C">
              <w:rPr>
                <w:rFonts w:asciiTheme="minorHAnsi" w:hAnsiTheme="minorHAnsi" w:cstheme="minorHAnsi"/>
              </w:rPr>
              <w:t xml:space="preserve">Destinatari finali: giovani caregiver </w:t>
            </w:r>
          </w:p>
          <w:p w:rsidR="006E6F56" w:rsidRPr="00A13E9C" w:rsidRDefault="006E6F56" w:rsidP="00D0299E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A13E9C">
              <w:rPr>
                <w:rFonts w:asciiTheme="minorHAnsi" w:hAnsiTheme="minorHAnsi" w:cstheme="minorHAnsi"/>
              </w:rPr>
              <w:t>Destinatari intermedi: Istituzioni scolastiche e servizi socio –sanitari,</w:t>
            </w:r>
            <w:r w:rsidR="00952F8A" w:rsidRPr="00A13E9C">
              <w:rPr>
                <w:rFonts w:asciiTheme="minorHAnsi" w:hAnsiTheme="minorHAnsi" w:cstheme="minorHAnsi"/>
              </w:rPr>
              <w:t xml:space="preserve"> educativi,</w:t>
            </w:r>
            <w:r w:rsidRPr="00A13E9C">
              <w:rPr>
                <w:rFonts w:asciiTheme="minorHAnsi" w:hAnsiTheme="minorHAnsi" w:cstheme="minorHAnsi"/>
              </w:rPr>
              <w:t xml:space="preserve"> comunità</w:t>
            </w:r>
          </w:p>
        </w:tc>
      </w:tr>
      <w:tr w:rsidR="006E6F56" w:rsidTr="00D0299E">
        <w:tc>
          <w:tcPr>
            <w:tcW w:w="2263" w:type="dxa"/>
          </w:tcPr>
          <w:p w:rsidR="006E6F56" w:rsidRPr="00D0299E" w:rsidRDefault="006E6F56" w:rsidP="00BB70AA">
            <w:pPr>
              <w:rPr>
                <w:b/>
                <w:sz w:val="28"/>
                <w:szCs w:val="28"/>
              </w:rPr>
            </w:pPr>
            <w:r w:rsidRPr="00D0299E">
              <w:rPr>
                <w:b/>
                <w:sz w:val="28"/>
                <w:szCs w:val="28"/>
              </w:rPr>
              <w:t>ATTIVITA’</w:t>
            </w:r>
          </w:p>
        </w:tc>
        <w:tc>
          <w:tcPr>
            <w:tcW w:w="7365" w:type="dxa"/>
          </w:tcPr>
          <w:p w:rsidR="00A13E9C" w:rsidRDefault="00A13E9C" w:rsidP="00A13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L’approccio che si propone di utilizzare è quello della ricerca – azione, che metta in collegamento tutti i soggetti/le istituzioni interessati con il lavoro con bambini, adolescenti e giovani, finalizzata alla co-c</w:t>
            </w:r>
            <w:r w:rsidR="00FA75C5">
              <w:rPr>
                <w:bCs/>
              </w:rPr>
              <w:t>o</w:t>
            </w:r>
            <w:r>
              <w:rPr>
                <w:bCs/>
              </w:rPr>
              <w:t>mprensione e co-cono</w:t>
            </w:r>
            <w:r w:rsidR="00FA75C5">
              <w:rPr>
                <w:bCs/>
              </w:rPr>
              <w:t>s</w:t>
            </w:r>
            <w:r>
              <w:rPr>
                <w:bCs/>
              </w:rPr>
              <w:t xml:space="preserve">cenza del fenomeno ed alla co-costruzione di risposte possibili. </w:t>
            </w:r>
          </w:p>
          <w:p w:rsidR="00A13E9C" w:rsidRDefault="00A13E9C" w:rsidP="00A13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Per soggetti coinvolgibili si intendono i servizi sociali, sanitari, educativi e scolastici ma anche i ragazzi stessi. </w:t>
            </w:r>
          </w:p>
          <w:p w:rsidR="00FB6881" w:rsidRDefault="00FB6881" w:rsidP="00A13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</w:p>
          <w:p w:rsidR="008D32E1" w:rsidRDefault="008D32E1" w:rsidP="00A13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Per i territori che volessero aderire, questo potrebbe comportare: </w:t>
            </w:r>
          </w:p>
          <w:p w:rsidR="008D32E1" w:rsidRDefault="00FB6881" w:rsidP="008D32E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Definizione del target che si intende coinvolgere, e costruzione delle premesse per l’attivazione del progetto</w:t>
            </w:r>
          </w:p>
          <w:p w:rsidR="00FB6881" w:rsidRDefault="00FB6881" w:rsidP="00FB688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Costituzione di un gruppo che monitori sul livello distrettuale la promozione, l’organizzazione e la realizzazione delle attività, in raccordo con il livello metropolitano. </w:t>
            </w:r>
            <w:bookmarkStart w:id="0" w:name="_GoBack"/>
            <w:bookmarkEnd w:id="0"/>
          </w:p>
          <w:p w:rsidR="00FB6881" w:rsidRPr="00FB6881" w:rsidRDefault="00FB6881" w:rsidP="00FB6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</w:p>
          <w:p w:rsidR="00A13E9C" w:rsidRDefault="00FB6881" w:rsidP="00A13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Stante il periodo entro il quale è necessario portare a compimento le attività (dicembre 2021), i</w:t>
            </w:r>
            <w:r w:rsidR="00A13E9C">
              <w:rPr>
                <w:bCs/>
              </w:rPr>
              <w:t xml:space="preserve">l percorso può prevedere essenzialmente 3 </w:t>
            </w:r>
            <w:proofErr w:type="spellStart"/>
            <w:r w:rsidR="00A13E9C">
              <w:rPr>
                <w:bCs/>
              </w:rPr>
              <w:t>step</w:t>
            </w:r>
            <w:proofErr w:type="spellEnd"/>
            <w:r w:rsidR="00A13E9C">
              <w:rPr>
                <w:bCs/>
              </w:rPr>
              <w:t xml:space="preserve">: </w:t>
            </w:r>
          </w:p>
          <w:p w:rsidR="00FB6881" w:rsidRDefault="00FB6881" w:rsidP="00A13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</w:p>
          <w:p w:rsidR="00A13E9C" w:rsidRPr="00A13E9C" w:rsidRDefault="00A13E9C" w:rsidP="0040437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u w:val="single"/>
              </w:rPr>
            </w:pPr>
            <w:r w:rsidRPr="00A13E9C">
              <w:rPr>
                <w:bCs/>
                <w:u w:val="single"/>
              </w:rPr>
              <w:t>Sensibilizzazione/Info</w:t>
            </w:r>
            <w:r>
              <w:rPr>
                <w:bCs/>
                <w:u w:val="single"/>
              </w:rPr>
              <w:t>rma</w:t>
            </w:r>
            <w:r w:rsidRPr="00A13E9C">
              <w:rPr>
                <w:bCs/>
                <w:u w:val="single"/>
              </w:rPr>
              <w:t>zione</w:t>
            </w:r>
          </w:p>
          <w:p w:rsidR="006E6F56" w:rsidRDefault="008D32E1" w:rsidP="00A13E9C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bCs/>
              </w:rPr>
            </w:pPr>
            <w:r>
              <w:rPr>
                <w:bCs/>
              </w:rPr>
              <w:t xml:space="preserve">Si propone di costruire </w:t>
            </w:r>
            <w:r w:rsidR="006E6F56" w:rsidRPr="00A13E9C">
              <w:rPr>
                <w:bCs/>
              </w:rPr>
              <w:t>azione di informazione ed approfondimento da realizzarsi a livello metropolitano,</w:t>
            </w:r>
            <w:r w:rsidR="00FB6881">
              <w:rPr>
                <w:bCs/>
              </w:rPr>
              <w:t xml:space="preserve"> che possa fungere da iniziativa di avvio</w:t>
            </w:r>
            <w:r w:rsidR="006E6F56" w:rsidRPr="00A13E9C">
              <w:rPr>
                <w:bCs/>
              </w:rPr>
              <w:t xml:space="preserve"> del percorso da sviluppare poi nei singoli contesti territoriali</w:t>
            </w:r>
            <w:r w:rsidR="00D80CA4" w:rsidRPr="00A13E9C">
              <w:rPr>
                <w:bCs/>
              </w:rPr>
              <w:t xml:space="preserve">. </w:t>
            </w:r>
          </w:p>
          <w:p w:rsidR="00FB6881" w:rsidRDefault="00FB6881" w:rsidP="00A13E9C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bCs/>
              </w:rPr>
            </w:pPr>
            <w:r>
              <w:rPr>
                <w:bCs/>
              </w:rPr>
              <w:t>Obiettivo dell’iniziativa è l’</w:t>
            </w:r>
            <w:r w:rsidR="00F74B0A">
              <w:rPr>
                <w:bCs/>
              </w:rPr>
              <w:t xml:space="preserve">inquadramento del tema, scopo quello di avvicinare i territori a conoscere </w:t>
            </w:r>
            <w:r w:rsidR="00A942B2">
              <w:rPr>
                <w:bCs/>
              </w:rPr>
              <w:t xml:space="preserve">e porre pensiero sul fenomeno, facilitando successivamente le azioni territoriali. </w:t>
            </w:r>
          </w:p>
          <w:p w:rsidR="00F74B0A" w:rsidRDefault="00F74B0A" w:rsidP="00A13E9C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bCs/>
              </w:rPr>
            </w:pPr>
          </w:p>
          <w:p w:rsidR="00A942B2" w:rsidRPr="00A942B2" w:rsidRDefault="00A942B2" w:rsidP="0040437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u w:val="single"/>
              </w:rPr>
            </w:pPr>
            <w:r w:rsidRPr="00A942B2">
              <w:rPr>
                <w:bCs/>
                <w:u w:val="single"/>
              </w:rPr>
              <w:t>Avvio di attività sui territori per condividere letture, strumenti</w:t>
            </w:r>
          </w:p>
          <w:p w:rsidR="001E52E7" w:rsidRDefault="00543EA3" w:rsidP="00D6071A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bCs/>
              </w:rPr>
            </w:pPr>
            <w:r>
              <w:rPr>
                <w:bCs/>
              </w:rPr>
              <w:t xml:space="preserve">In collaborazione con i soggetti che erano stati precedentemente </w:t>
            </w:r>
            <w:r w:rsidR="00D6071A">
              <w:rPr>
                <w:bCs/>
              </w:rPr>
              <w:t xml:space="preserve">coinvolti, </w:t>
            </w:r>
            <w:r w:rsidR="001E52E7">
              <w:rPr>
                <w:bCs/>
              </w:rPr>
              <w:t>si p</w:t>
            </w:r>
            <w:r w:rsidR="00D6071A">
              <w:rPr>
                <w:bCs/>
              </w:rPr>
              <w:t xml:space="preserve">ropone di utilizzare metodologie partecipative, che poggiano sulla collaborazione nella lettura del contesto, </w:t>
            </w:r>
            <w:r w:rsidR="001E52E7">
              <w:rPr>
                <w:bCs/>
              </w:rPr>
              <w:t xml:space="preserve">sul riconoscimento del portato </w:t>
            </w:r>
            <w:r w:rsidR="00C56B35">
              <w:rPr>
                <w:bCs/>
              </w:rPr>
              <w:t>di ognuno nella definizione del perimetro del fenomeno, e sulla partecipazione attiva nella costruzione di strumenti e risposte.</w:t>
            </w:r>
          </w:p>
          <w:p w:rsidR="006E6F56" w:rsidRDefault="001E52E7" w:rsidP="00D6071A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bCs/>
              </w:rPr>
            </w:pPr>
            <w:r>
              <w:rPr>
                <w:bCs/>
              </w:rPr>
              <w:t xml:space="preserve">Attraverso i il metodo partecipativo, si procederà al </w:t>
            </w:r>
            <w:r w:rsidR="006E6F56" w:rsidRPr="00A13E9C">
              <w:rPr>
                <w:bCs/>
              </w:rPr>
              <w:t>confronto e</w:t>
            </w:r>
            <w:r w:rsidR="00C56B35">
              <w:rPr>
                <w:bCs/>
              </w:rPr>
              <w:t>d</w:t>
            </w:r>
            <w:r w:rsidR="006E6F56" w:rsidRPr="00A13E9C">
              <w:rPr>
                <w:bCs/>
              </w:rPr>
              <w:t xml:space="preserve"> </w:t>
            </w:r>
            <w:r w:rsidR="00C56B35">
              <w:rPr>
                <w:bCs/>
              </w:rPr>
              <w:t xml:space="preserve">alla </w:t>
            </w:r>
            <w:r w:rsidR="006E6F56" w:rsidRPr="00A13E9C">
              <w:rPr>
                <w:bCs/>
              </w:rPr>
              <w:t>costruzione delle premesse di riconoscimento e co</w:t>
            </w:r>
            <w:r w:rsidR="00817231">
              <w:rPr>
                <w:bCs/>
              </w:rPr>
              <w:t>-</w:t>
            </w:r>
            <w:r w:rsidR="006E6F56" w:rsidRPr="00A13E9C">
              <w:rPr>
                <w:bCs/>
              </w:rPr>
              <w:t xml:space="preserve">progettazione delle iniziative a supporto e/o sollievo per i bambini/ragazzi. </w:t>
            </w:r>
          </w:p>
          <w:p w:rsidR="00C56B35" w:rsidRPr="00A13E9C" w:rsidRDefault="00C56B35" w:rsidP="00D6071A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bCs/>
              </w:rPr>
            </w:pPr>
          </w:p>
          <w:p w:rsidR="00642DB5" w:rsidRPr="00A13E9C" w:rsidRDefault="00642DB5" w:rsidP="00642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A13E9C">
              <w:rPr>
                <w:bCs/>
              </w:rPr>
              <w:t xml:space="preserve">A livello </w:t>
            </w:r>
            <w:proofErr w:type="spellStart"/>
            <w:r w:rsidRPr="00A13E9C">
              <w:rPr>
                <w:bCs/>
              </w:rPr>
              <w:t>sovradi</w:t>
            </w:r>
            <w:r w:rsidR="00817231">
              <w:rPr>
                <w:bCs/>
              </w:rPr>
              <w:t>s</w:t>
            </w:r>
            <w:r w:rsidRPr="00A13E9C">
              <w:rPr>
                <w:bCs/>
              </w:rPr>
              <w:t>trettuale</w:t>
            </w:r>
            <w:proofErr w:type="spellEnd"/>
            <w:r w:rsidRPr="00A13E9C">
              <w:rPr>
                <w:bCs/>
              </w:rPr>
              <w:t xml:space="preserve"> si potrebbe </w:t>
            </w:r>
            <w:r w:rsidR="001E52E7">
              <w:rPr>
                <w:bCs/>
              </w:rPr>
              <w:t xml:space="preserve">anche </w:t>
            </w:r>
            <w:r w:rsidRPr="00A13E9C">
              <w:rPr>
                <w:bCs/>
              </w:rPr>
              <w:t>lavorare</w:t>
            </w:r>
            <w:r w:rsidR="00C56B35">
              <w:rPr>
                <w:bCs/>
              </w:rPr>
              <w:t>, con un percorso centralizzato,</w:t>
            </w:r>
            <w:r w:rsidRPr="00A13E9C">
              <w:rPr>
                <w:bCs/>
              </w:rPr>
              <w:t xml:space="preserve"> con le scuole del secondo ciclo, provando a costruire una azione che coinvolga trasver</w:t>
            </w:r>
            <w:r w:rsidR="00952F8A" w:rsidRPr="00A13E9C">
              <w:rPr>
                <w:bCs/>
              </w:rPr>
              <w:t>s</w:t>
            </w:r>
            <w:r w:rsidRPr="00A13E9C">
              <w:rPr>
                <w:bCs/>
              </w:rPr>
              <w:t>almente gli Istituti superiori</w:t>
            </w:r>
            <w:r w:rsidR="00C56B35">
              <w:rPr>
                <w:bCs/>
              </w:rPr>
              <w:t xml:space="preserve"> e gli Enti di Formazione Professionale</w:t>
            </w:r>
            <w:r w:rsidRPr="00A13E9C">
              <w:rPr>
                <w:bCs/>
              </w:rPr>
              <w:t xml:space="preserve">, e che permetta </w:t>
            </w:r>
            <w:r w:rsidR="00C56B35">
              <w:rPr>
                <w:bCs/>
              </w:rPr>
              <w:t>lavorare</w:t>
            </w:r>
            <w:r w:rsidRPr="00A13E9C">
              <w:rPr>
                <w:bCs/>
              </w:rPr>
              <w:t xml:space="preserve"> direttamente con i ragazzi, sempre utilizzando una modalità partecipativa. </w:t>
            </w:r>
          </w:p>
          <w:p w:rsidR="00642DB5" w:rsidRDefault="00642DB5" w:rsidP="00642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A13E9C">
              <w:rPr>
                <w:bCs/>
              </w:rPr>
              <w:t xml:space="preserve">Questo permetterebbe di agire creando spazi di dialogo direttamente con loro, sia nei contesti formali della scuola e agganciando successivamente i contesti informali, </w:t>
            </w:r>
            <w:r w:rsidR="001E52E7">
              <w:rPr>
                <w:bCs/>
              </w:rPr>
              <w:t>o i luoghi di aggregaz</w:t>
            </w:r>
            <w:r w:rsidRPr="00A13E9C">
              <w:rPr>
                <w:bCs/>
              </w:rPr>
              <w:t>i</w:t>
            </w:r>
            <w:r w:rsidR="001E52E7">
              <w:rPr>
                <w:bCs/>
              </w:rPr>
              <w:t>one</w:t>
            </w:r>
            <w:r w:rsidRPr="00A13E9C">
              <w:rPr>
                <w:bCs/>
              </w:rPr>
              <w:t xml:space="preserve"> </w:t>
            </w:r>
            <w:r w:rsidR="001E52E7">
              <w:rPr>
                <w:bCs/>
              </w:rPr>
              <w:t>formali</w:t>
            </w:r>
            <w:r w:rsidRPr="00A13E9C">
              <w:rPr>
                <w:bCs/>
              </w:rPr>
              <w:t xml:space="preserve">, co-costruendo risposte direttamente assieme a loro. </w:t>
            </w:r>
          </w:p>
          <w:p w:rsidR="00A942B2" w:rsidRDefault="00A942B2" w:rsidP="00642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</w:p>
          <w:p w:rsidR="00A942B2" w:rsidRPr="00A13E9C" w:rsidRDefault="00A942B2" w:rsidP="00A94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A13E9C">
              <w:rPr>
                <w:bCs/>
              </w:rPr>
              <w:t xml:space="preserve">Nel Distretto Pianura Est il progetto si è sviluppato secondo queste fasi: </w:t>
            </w:r>
          </w:p>
          <w:p w:rsidR="00A942B2" w:rsidRPr="00A13E9C" w:rsidRDefault="00A942B2" w:rsidP="00A942B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A13E9C">
              <w:rPr>
                <w:bCs/>
              </w:rPr>
              <w:t>costituzione di un gruppo di governo del progetto, composto da Ufficio di Piano, NPIA, Sociale minori, Istituzioni scolastiche</w:t>
            </w:r>
          </w:p>
          <w:p w:rsidR="00A942B2" w:rsidRPr="00A13E9C" w:rsidRDefault="00A942B2" w:rsidP="00A942B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A13E9C">
              <w:rPr>
                <w:bCs/>
              </w:rPr>
              <w:t xml:space="preserve">costruzione e realizzazione di un percorso partecipativo che ha visto i referenti delle differenti istituzioni confrontarsi rispetto alle caratteristiche, ai segnali ed ai bisogni portati da bambini e ragazzi, </w:t>
            </w:r>
          </w:p>
          <w:p w:rsidR="00A942B2" w:rsidRPr="00A13E9C" w:rsidRDefault="00A942B2" w:rsidP="00A942B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A13E9C">
              <w:rPr>
                <w:bCs/>
              </w:rPr>
              <w:t xml:space="preserve">costruzione di uno strumento di orientamento all’osservazione delle situazioni nel contesto scolastico, </w:t>
            </w:r>
          </w:p>
          <w:p w:rsidR="00A942B2" w:rsidRPr="00A13E9C" w:rsidRDefault="00A942B2" w:rsidP="00A942B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A13E9C">
              <w:rPr>
                <w:bCs/>
              </w:rPr>
              <w:t>coinvolgimento della comunità di riferimento (ETS, scuole, soggetti economici… ), per la condivisione dei bisogni e per la co-costruzione delle possibili risposte comunitarie alle singole situazioni.</w:t>
            </w:r>
          </w:p>
          <w:p w:rsidR="00A942B2" w:rsidRPr="00A13E9C" w:rsidRDefault="00A942B2" w:rsidP="00642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</w:p>
        </w:tc>
      </w:tr>
    </w:tbl>
    <w:p w:rsidR="00C56B35" w:rsidRDefault="00C56B35">
      <w: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7365"/>
      </w:tblGrid>
      <w:tr w:rsidR="006E6F56" w:rsidTr="00D0299E">
        <w:tc>
          <w:tcPr>
            <w:tcW w:w="2263" w:type="dxa"/>
          </w:tcPr>
          <w:p w:rsidR="006E6F56" w:rsidRPr="00D0299E" w:rsidRDefault="006E6F56" w:rsidP="00BB70AA">
            <w:pPr>
              <w:rPr>
                <w:b/>
                <w:sz w:val="28"/>
                <w:szCs w:val="28"/>
              </w:rPr>
            </w:pPr>
            <w:r w:rsidRPr="00D0299E">
              <w:rPr>
                <w:b/>
                <w:sz w:val="28"/>
                <w:szCs w:val="28"/>
              </w:rPr>
              <w:lastRenderedPageBreak/>
              <w:t xml:space="preserve">SPECIFICHE </w:t>
            </w:r>
          </w:p>
          <w:p w:rsidR="006E6F56" w:rsidRPr="00D0299E" w:rsidRDefault="006E6F56" w:rsidP="00BB70AA">
            <w:pPr>
              <w:rPr>
                <w:b/>
                <w:sz w:val="28"/>
                <w:szCs w:val="28"/>
              </w:rPr>
            </w:pPr>
            <w:r w:rsidRPr="00D0299E">
              <w:rPr>
                <w:b/>
                <w:sz w:val="28"/>
                <w:szCs w:val="28"/>
              </w:rPr>
              <w:t>E COSTI</w:t>
            </w:r>
          </w:p>
        </w:tc>
        <w:tc>
          <w:tcPr>
            <w:tcW w:w="7365" w:type="dxa"/>
          </w:tcPr>
          <w:p w:rsidR="006E6F56" w:rsidRPr="00A13E9C" w:rsidRDefault="00642DB5" w:rsidP="00D0299E">
            <w:pPr>
              <w:spacing w:after="0"/>
              <w:jc w:val="both"/>
              <w:rPr>
                <w:rFonts w:ascii="Carlito" w:hAnsi="Carlito"/>
              </w:rPr>
            </w:pPr>
            <w:r w:rsidRPr="00A13E9C">
              <w:rPr>
                <w:rFonts w:ascii="Carlito" w:hAnsi="Carlito"/>
              </w:rPr>
              <w:t xml:space="preserve">L’approccio che può essere utilizzato è quello partecipativo. </w:t>
            </w:r>
          </w:p>
          <w:p w:rsidR="00642DB5" w:rsidRDefault="00642DB5" w:rsidP="00D0299E">
            <w:pPr>
              <w:spacing w:after="0"/>
              <w:jc w:val="both"/>
              <w:rPr>
                <w:rFonts w:ascii="Carlito" w:hAnsi="Carlito"/>
              </w:rPr>
            </w:pPr>
            <w:r w:rsidRPr="00A13E9C">
              <w:rPr>
                <w:rFonts w:ascii="Carlito" w:hAnsi="Carlito"/>
              </w:rPr>
              <w:t>Le risorse potr</w:t>
            </w:r>
            <w:r w:rsidR="001E52E7">
              <w:rPr>
                <w:rFonts w:ascii="Carlito" w:hAnsi="Carlito"/>
              </w:rPr>
              <w:t>anno</w:t>
            </w:r>
            <w:r w:rsidRPr="00A13E9C">
              <w:rPr>
                <w:rFonts w:ascii="Carlito" w:hAnsi="Carlito"/>
              </w:rPr>
              <w:t xml:space="preserve"> essere utilizzate per facilitare, nei differenti contesti, o nel contesto coordinato del lavoro con gli adolescenti, il confronto e le co-costruzione di azioni condivise di supporto e sostegno</w:t>
            </w:r>
            <w:r w:rsidR="00C56B35">
              <w:rPr>
                <w:rFonts w:ascii="Carlito" w:hAnsi="Carlito"/>
              </w:rPr>
              <w:t xml:space="preserve">. </w:t>
            </w:r>
          </w:p>
          <w:p w:rsidR="001E52E7" w:rsidRPr="00A13E9C" w:rsidRDefault="001E52E7" w:rsidP="00D0299E">
            <w:pPr>
              <w:spacing w:after="0"/>
              <w:jc w:val="both"/>
              <w:rPr>
                <w:rFonts w:ascii="Carlito" w:hAnsi="Carlito"/>
              </w:rPr>
            </w:pPr>
            <w:r>
              <w:rPr>
                <w:rFonts w:ascii="Carlito" w:hAnsi="Carlito"/>
              </w:rPr>
              <w:t>Ciò significa individuare un sogg</w:t>
            </w:r>
            <w:r w:rsidR="00C56B35">
              <w:rPr>
                <w:rFonts w:ascii="Carlito" w:hAnsi="Carlito"/>
              </w:rPr>
              <w:t xml:space="preserve">etto terzo che possa accompagnare i territori nell’implementazione del progetto. </w:t>
            </w:r>
          </w:p>
          <w:p w:rsidR="00642DB5" w:rsidRPr="00A13E9C" w:rsidRDefault="00642DB5" w:rsidP="00D0299E">
            <w:pPr>
              <w:spacing w:after="0"/>
              <w:jc w:val="both"/>
              <w:rPr>
                <w:rFonts w:ascii="Carlito" w:hAnsi="Carlito"/>
              </w:rPr>
            </w:pPr>
          </w:p>
          <w:p w:rsidR="00642DB5" w:rsidRPr="00A13E9C" w:rsidRDefault="00642DB5" w:rsidP="00D0299E">
            <w:pPr>
              <w:spacing w:after="0"/>
              <w:jc w:val="both"/>
              <w:rPr>
                <w:rFonts w:ascii="Carlito" w:hAnsi="Carlito"/>
              </w:rPr>
            </w:pPr>
            <w:r w:rsidRPr="00A13E9C">
              <w:rPr>
                <w:rFonts w:ascii="Carlito" w:hAnsi="Carlito"/>
              </w:rPr>
              <w:t xml:space="preserve">Risorse necessarie € </w:t>
            </w:r>
            <w:r w:rsidR="00C56B35">
              <w:rPr>
                <w:rFonts w:ascii="Carlito" w:hAnsi="Carlito"/>
              </w:rPr>
              <w:t>30.000</w:t>
            </w:r>
            <w:r w:rsidRPr="00A13E9C">
              <w:rPr>
                <w:rFonts w:ascii="Carlito" w:hAnsi="Carlito"/>
              </w:rPr>
              <w:t xml:space="preserve"> per la costruzione dei percorsi territoriali. </w:t>
            </w:r>
          </w:p>
          <w:p w:rsidR="00952F8A" w:rsidRPr="00A13E9C" w:rsidRDefault="00952F8A" w:rsidP="00D0299E">
            <w:pPr>
              <w:spacing w:after="0"/>
              <w:jc w:val="both"/>
              <w:rPr>
                <w:bCs/>
              </w:rPr>
            </w:pPr>
          </w:p>
        </w:tc>
      </w:tr>
    </w:tbl>
    <w:p w:rsidR="006E6F56" w:rsidRDefault="006E6F56"/>
    <w:sectPr w:rsidR="006E6F56" w:rsidSect="004A0D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4E02"/>
    <w:multiLevelType w:val="hybridMultilevel"/>
    <w:tmpl w:val="EBA24470"/>
    <w:lvl w:ilvl="0" w:tplc="53C4DEBC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AC2F59"/>
    <w:multiLevelType w:val="hybridMultilevel"/>
    <w:tmpl w:val="94F64E4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3C4DEBC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E00E2D"/>
    <w:multiLevelType w:val="hybridMultilevel"/>
    <w:tmpl w:val="5E5697F8"/>
    <w:lvl w:ilvl="0" w:tplc="7BEEFD7E">
      <w:start w:val="1"/>
      <w:numFmt w:val="decimal"/>
      <w:lvlText w:val="%1."/>
      <w:lvlJc w:val="left"/>
      <w:pPr>
        <w:tabs>
          <w:tab w:val="num" w:pos="330"/>
        </w:tabs>
        <w:ind w:left="33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  <w:rPr>
        <w:rFonts w:cs="Times New Roman"/>
      </w:rPr>
    </w:lvl>
  </w:abstractNum>
  <w:abstractNum w:abstractNumId="3">
    <w:nsid w:val="09ED7470"/>
    <w:multiLevelType w:val="hybridMultilevel"/>
    <w:tmpl w:val="7BA03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603C60"/>
    <w:multiLevelType w:val="hybridMultilevel"/>
    <w:tmpl w:val="C51408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84225F"/>
    <w:multiLevelType w:val="hybridMultilevel"/>
    <w:tmpl w:val="A1DC26CC"/>
    <w:lvl w:ilvl="0" w:tplc="53C4DEBC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4B61D9"/>
    <w:multiLevelType w:val="hybridMultilevel"/>
    <w:tmpl w:val="03CCFBE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0AA"/>
    <w:rsid w:val="000A0A69"/>
    <w:rsid w:val="000A1D10"/>
    <w:rsid w:val="00130CEB"/>
    <w:rsid w:val="001345BD"/>
    <w:rsid w:val="00153300"/>
    <w:rsid w:val="00176AF0"/>
    <w:rsid w:val="00190B0A"/>
    <w:rsid w:val="001E52E7"/>
    <w:rsid w:val="00357AFB"/>
    <w:rsid w:val="003E75EF"/>
    <w:rsid w:val="0040437C"/>
    <w:rsid w:val="00441E9B"/>
    <w:rsid w:val="004A0DF6"/>
    <w:rsid w:val="004D3BAA"/>
    <w:rsid w:val="00543EA3"/>
    <w:rsid w:val="005D66B2"/>
    <w:rsid w:val="00613E63"/>
    <w:rsid w:val="006273DE"/>
    <w:rsid w:val="00642DB5"/>
    <w:rsid w:val="00684D55"/>
    <w:rsid w:val="006E6F56"/>
    <w:rsid w:val="007232EC"/>
    <w:rsid w:val="007863EF"/>
    <w:rsid w:val="007A7ADD"/>
    <w:rsid w:val="00817231"/>
    <w:rsid w:val="008D32E1"/>
    <w:rsid w:val="00910C7D"/>
    <w:rsid w:val="00952F8A"/>
    <w:rsid w:val="00A00E98"/>
    <w:rsid w:val="00A13E9C"/>
    <w:rsid w:val="00A942B2"/>
    <w:rsid w:val="00AB392F"/>
    <w:rsid w:val="00B547CF"/>
    <w:rsid w:val="00B57510"/>
    <w:rsid w:val="00BB70AA"/>
    <w:rsid w:val="00BD035F"/>
    <w:rsid w:val="00C10467"/>
    <w:rsid w:val="00C56B35"/>
    <w:rsid w:val="00C81DF7"/>
    <w:rsid w:val="00CD74E3"/>
    <w:rsid w:val="00CE6477"/>
    <w:rsid w:val="00CF7902"/>
    <w:rsid w:val="00D0299E"/>
    <w:rsid w:val="00D6071A"/>
    <w:rsid w:val="00D80CA4"/>
    <w:rsid w:val="00E1188C"/>
    <w:rsid w:val="00EB022A"/>
    <w:rsid w:val="00EC5C4C"/>
    <w:rsid w:val="00EC74B3"/>
    <w:rsid w:val="00EE27E0"/>
    <w:rsid w:val="00EE3528"/>
    <w:rsid w:val="00F74B0A"/>
    <w:rsid w:val="00FA75C5"/>
    <w:rsid w:val="00FB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70AA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CE647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52F8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D32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70AA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CE647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52F8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D3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PROGETTO PILOTA</vt:lpstr>
    </vt:vector>
  </TitlesOfParts>
  <Company/>
  <LinksUpToDate>false</LinksUpToDate>
  <CharactersWithSpaces>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 PILOTA</dc:title>
  <dc:creator>Andrea Gamberini</dc:creator>
  <cp:lastModifiedBy>Francesco Bertoni</cp:lastModifiedBy>
  <cp:revision>4</cp:revision>
  <cp:lastPrinted>2021-03-23T17:00:00Z</cp:lastPrinted>
  <dcterms:created xsi:type="dcterms:W3CDTF">2021-04-14T14:31:00Z</dcterms:created>
  <dcterms:modified xsi:type="dcterms:W3CDTF">2021-04-26T13:07:00Z</dcterms:modified>
</cp:coreProperties>
</file>